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0070C0"/>
        <w:spacing w:lineRule="auto" w:line="240" w:before="0" w:after="0"/>
        <w:jc w:val="center"/>
        <w:rPr>
          <w:b/>
          <w:color w:val="FFFFFF"/>
          <w:sz w:val="20"/>
          <w:szCs w:val="20"/>
        </w:rPr>
      </w:pPr>
      <w:r>
        <w:rPr>
          <w:b/>
          <w:color w:val="FFFFFF"/>
          <w:sz w:val="20"/>
          <w:szCs w:val="20"/>
        </w:rPr>
        <w:t>CORSO DI AGGIORNAMENTO IN MATERIA DI PREVENZIONE INCENDI</w:t>
      </w:r>
    </w:p>
    <w:p>
      <w:pPr>
        <w:pStyle w:val="Normal"/>
        <w:shd w:val="clear" w:color="auto" w:fill="0070C0"/>
        <w:spacing w:lineRule="auto" w:line="240" w:before="0" w:after="0"/>
        <w:jc w:val="center"/>
        <w:rPr>
          <w:b/>
          <w:color w:val="FFFFFF"/>
          <w:sz w:val="20"/>
          <w:szCs w:val="20"/>
        </w:rPr>
      </w:pPr>
      <w:r>
        <w:rPr>
          <w:b/>
          <w:color w:val="FFFFFF"/>
          <w:sz w:val="20"/>
          <w:szCs w:val="20"/>
        </w:rPr>
        <w:t>(moduli VII e VIII – dicembre 2022)</w:t>
      </w:r>
    </w:p>
    <w:p>
      <w:pPr>
        <w:pStyle w:val="Normal"/>
        <w:shd w:val="clear" w:color="auto" w:fill="0070C0"/>
        <w:spacing w:lineRule="auto" w:line="240" w:before="0" w:after="0"/>
        <w:jc w:val="center"/>
        <w:rPr>
          <w:b/>
          <w:color w:val="FFFFFF"/>
          <w:sz w:val="20"/>
          <w:szCs w:val="20"/>
        </w:rPr>
      </w:pPr>
      <w:r>
        <w:rPr>
          <w:b/>
          <w:color w:val="FFFFFF"/>
          <w:sz w:val="20"/>
          <w:szCs w:val="20"/>
        </w:rPr>
        <w:t>per il mantenimento dell’iscrizione negli elenchi del Ministero dell’Interno</w:t>
      </w:r>
    </w:p>
    <w:p>
      <w:pPr>
        <w:pStyle w:val="Normal"/>
        <w:shd w:val="clear" w:color="auto" w:fill="0070C0"/>
        <w:spacing w:lineRule="auto" w:line="240" w:before="0" w:after="0"/>
        <w:jc w:val="center"/>
        <w:rPr>
          <w:color w:val="FFFFFF"/>
          <w:sz w:val="20"/>
          <w:szCs w:val="20"/>
        </w:rPr>
      </w:pPr>
      <w:r>
        <w:rPr>
          <w:color w:val="FFFFFF"/>
          <w:sz w:val="20"/>
          <w:szCs w:val="20"/>
        </w:rPr>
        <w:t xml:space="preserve">ai sensi del D.M. 5 agosto 2011 </w:t>
      </w:r>
    </w:p>
    <w:p>
      <w:pPr>
        <w:pStyle w:val="Normal"/>
        <w:spacing w:lineRule="atLeast" w:line="100" w:before="0" w:after="0"/>
        <w:ind w:left="-142" w:right="-285"/>
        <w:jc w:val="center"/>
        <w:rPr>
          <w:b/>
          <w:color w:val="C00000"/>
          <w:sz w:val="20"/>
          <w:szCs w:val="20"/>
        </w:rPr>
      </w:pPr>
      <w:r>
        <w:rPr>
          <w:b/>
          <w:color w:val="C00000"/>
          <w:sz w:val="20"/>
          <w:szCs w:val="20"/>
        </w:rPr>
      </w:r>
    </w:p>
    <w:p>
      <w:pPr>
        <w:pStyle w:val="Normal"/>
        <w:spacing w:lineRule="atLeast" w:line="100" w:before="0" w:after="0"/>
        <w:ind w:left="-142" w:right="-28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DM 18.10.2019 </w:t>
      </w:r>
    </w:p>
    <w:p>
      <w:pPr>
        <w:pStyle w:val="Normal"/>
        <w:spacing w:lineRule="atLeast" w:line="100" w:before="0" w:after="0"/>
        <w:ind w:left="-142" w:right="-28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METODI DI PROGETTAZIONE DELL’INGEGNERIA DELLA SICUREZZA ANTINCENDIO – CONTROLLO FUMI E CALORE</w:t>
      </w:r>
      <w:bookmarkStart w:id="0" w:name="_GoBack"/>
      <w:bookmarkEnd w:id="0"/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  <w:t>DATA</w:t>
      </w:r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  <w:t>LUOGO</w:t>
      </w:r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pacing w:lineRule="auto" w:line="240" w:before="0" w:after="0"/>
        <w:ind w:firstLine="70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Test di fine corso per verifica dell’apprendimento </w:t>
      </w:r>
    </w:p>
    <w:p>
      <w:pPr>
        <w:pStyle w:val="Paragrafoelenco1"/>
        <w:spacing w:lineRule="auto" w:line="240" w:before="0" w:after="0"/>
        <w:ind w:left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Nota: 1 sola risposta valida per domanda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14"/>
        <w:gridCol w:w="9128"/>
      </w:tblGrid>
      <w:tr>
        <w:trPr>
          <w:trHeight w:val="60" w:hRule="atLeast"/>
        </w:trPr>
        <w:tc>
          <w:tcPr>
            <w:tcW w:w="614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1</w:t>
            </w:r>
          </w:p>
        </w:tc>
        <w:tc>
          <w:tcPr>
            <w:tcW w:w="9128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 xml:space="preserve">La misura antincendio “Controllo di fumi e calore” ha come scopo: </w:t>
            </w:r>
          </w:p>
        </w:tc>
      </w:tr>
      <w:tr>
        <w:trPr/>
        <w:tc>
          <w:tcPr>
            <w:tcW w:w="974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l’aumento delle aperture di aerazione naturale;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la riduzione della visibilità in caso di incendio;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b/>
                <w:color w:val="FF0000"/>
                <w:kern w:val="0"/>
                <w:sz w:val="20"/>
                <w:szCs w:val="20"/>
                <w:lang w:val="it-IT" w:bidi="ar-SA"/>
              </w:rPr>
              <w:t>C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l’individuazione dei presidi antincendio da installare nell’attività per consentire il controllo, l’evacuazione o lo smaltimento dei prodotti della combustione in caso di incendio.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0"/>
        <w:gridCol w:w="9125"/>
      </w:tblGrid>
      <w:tr>
        <w:trPr/>
        <w:tc>
          <w:tcPr>
            <w:tcW w:w="63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2</w:t>
            </w:r>
          </w:p>
        </w:tc>
        <w:tc>
          <w:tcPr>
            <w:tcW w:w="912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Secondo il Codice la misura conforme per garantire la salvaguardia degli occupanti, delle squadre di soccorso e la protezione dei beni se richiesta, dai fumi e dal calore causati dall’incendio: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è la realizzazione di aperture di smaltimento di fumo e calore;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b/>
                <w:color w:val="FF0000"/>
                <w:kern w:val="0"/>
                <w:sz w:val="20"/>
                <w:szCs w:val="20"/>
                <w:lang w:val="it-IT" w:bidi="ar-SA"/>
              </w:rPr>
              <w:t>B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è la installazione di un sistema di evacuazione fumi e calore (naturale o forzato);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è la installazione di uno SVOF.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0"/>
        <w:gridCol w:w="9125"/>
      </w:tblGrid>
      <w:tr>
        <w:trPr/>
        <w:tc>
          <w:tcPr>
            <w:tcW w:w="63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3</w:t>
            </w:r>
          </w:p>
        </w:tc>
        <w:tc>
          <w:tcPr>
            <w:tcW w:w="912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 xml:space="preserve">Le aperture di smaltimento del fumo e del calore 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possono essere posizionate solo in una zona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FF0000"/>
                <w:kern w:val="0"/>
                <w:sz w:val="20"/>
                <w:szCs w:val="20"/>
                <w:lang w:val="it-IT" w:bidi="ar-SA"/>
              </w:rPr>
              <w:t>B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devono essere uniformemente distribuite imponendo un raggio di influenza di 20 m o secondo le risultanze della valutazione del rischio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devono essere solo contrapposte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9080"/>
      </w:tblGrid>
      <w:tr>
        <w:trPr/>
        <w:tc>
          <w:tcPr>
            <w:tcW w:w="67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4</w:t>
            </w:r>
          </w:p>
        </w:tc>
        <w:tc>
          <w:tcPr>
            <w:tcW w:w="90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it-IT" w:bidi="ar-SA"/>
              </w:rPr>
              <w:t>Secondo il Codice l</w:t>
            </w: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a superficie utile minima complessiva SE delle aperture di smaltimento di piano è calcolata: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b/>
                <w:color w:val="FF0000"/>
                <w:kern w:val="0"/>
                <w:sz w:val="20"/>
                <w:szCs w:val="20"/>
                <w:lang w:val="it-IT" w:bidi="ar-SA"/>
              </w:rPr>
              <w:t>A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in funzione del carico di incendio specifico e della superficie lorda del compartimento;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in funzione del carico di incendio specifico di progetto;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in funzione del tipo di combustibile presente e della superficie lorda del compartimento;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5"/>
        <w:gridCol w:w="9037"/>
      </w:tblGrid>
      <w:tr>
        <w:trPr/>
        <w:tc>
          <w:tcPr>
            <w:tcW w:w="70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5</w:t>
            </w:r>
          </w:p>
        </w:tc>
        <w:tc>
          <w:tcPr>
            <w:tcW w:w="9037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 xml:space="preserve">Le soluzioni conformi per il livello III di prestazione del controllo fumo e calore prevedono </w:t>
            </w:r>
          </w:p>
        </w:tc>
      </w:tr>
      <w:tr>
        <w:trPr/>
        <w:tc>
          <w:tcPr>
            <w:tcW w:w="974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A □ lo smaltimento del fumo e del calore al solo fine di facilitare le operazioni delle squadre di soccorso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la superficie minima di aerazione determinata attraverso i regolamenti edilizi e/o norme igienico sanitarie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color w:val="FF0000"/>
                <w:kern w:val="0"/>
                <w:sz w:val="20"/>
                <w:szCs w:val="20"/>
                <w:lang w:val="it-IT" w:bidi="ar-SA"/>
              </w:rPr>
              <w:t>C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un sistema di evacuazioni fumi e calore naturale o forzato progettato, installato e gestito in conformità alle norme UNI 9494 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14"/>
        <w:gridCol w:w="9128"/>
      </w:tblGrid>
      <w:tr>
        <w:trPr>
          <w:trHeight w:val="60" w:hRule="atLeast"/>
        </w:trPr>
        <w:tc>
          <w:tcPr>
            <w:tcW w:w="614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6</w:t>
            </w:r>
          </w:p>
        </w:tc>
        <w:tc>
          <w:tcPr>
            <w:tcW w:w="9128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Quando è possibile utilizzare le soluzioni alternative previste dal DM 03/08/2015 e s.m.i.?</w:t>
            </w:r>
          </w:p>
        </w:tc>
      </w:tr>
      <w:tr>
        <w:trPr/>
        <w:tc>
          <w:tcPr>
            <w:tcW w:w="974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nel caso debba sviluppare un progetto complesso;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FF0000"/>
                <w:kern w:val="0"/>
                <w:sz w:val="20"/>
                <w:szCs w:val="20"/>
                <w:lang w:val="it-IT" w:bidi="ar-SA"/>
              </w:rPr>
              <w:t xml:space="preserve">B 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□ nel caso risulti impossibile applicare le soluzioni conformi previste dal DM 03/08/2015 e s.m.i.;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nel caso debba contenere i costi di realizzazione delle misure di protezione passiva;</w:t>
            </w:r>
            <w:bookmarkStart w:id="1" w:name="_Hlk121861152"/>
            <w:bookmarkEnd w:id="1"/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0"/>
        <w:gridCol w:w="9125"/>
      </w:tblGrid>
      <w:tr>
        <w:trPr/>
        <w:tc>
          <w:tcPr>
            <w:tcW w:w="63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7</w:t>
            </w:r>
          </w:p>
        </w:tc>
        <w:tc>
          <w:tcPr>
            <w:tcW w:w="912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Cosa si intende per ASET?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color w:val="FF0000"/>
                <w:kern w:val="0"/>
                <w:sz w:val="20"/>
                <w:szCs w:val="20"/>
                <w:lang w:val="it-IT" w:bidi="ar-SA"/>
              </w:rPr>
              <w:t>A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il tempo disponibile per lo svolgimento delle procedure d’esodo;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il tempo necessario all’esodo delle persone presenti in un’attività;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C □ </w:t>
            </w:r>
            <w:r>
              <w:rPr>
                <w:rFonts w:eastAsia="Noto Sans CJK SC" w:cs="Lohit Devanagari"/>
                <w:kern w:val="0"/>
                <w:lang w:val="it-IT" w:bidi="ar-SA"/>
              </w:rPr>
              <w:t>il tempo necessario all’estinzione di un incendio;</w:t>
            </w:r>
            <w:bookmarkStart w:id="2" w:name="_Hlk121861237"/>
            <w:bookmarkEnd w:id="2"/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9079"/>
      </w:tblGrid>
      <w:tr>
        <w:trPr/>
        <w:tc>
          <w:tcPr>
            <w:tcW w:w="67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8</w:t>
            </w:r>
          </w:p>
        </w:tc>
        <w:tc>
          <w:tcPr>
            <w:tcW w:w="9079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Che rapporto c’è tra il RSET ed il ASET?</w:t>
            </w:r>
          </w:p>
        </w:tc>
      </w:tr>
      <w:tr>
        <w:trPr/>
        <w:tc>
          <w:tcPr>
            <w:tcW w:w="975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nessuno, sono due parametri fra loro non correlati;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RSET deve essere maggiore dello ASET;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FF0000"/>
                <w:kern w:val="0"/>
                <w:sz w:val="20"/>
                <w:szCs w:val="20"/>
                <w:lang w:val="it-IT" w:bidi="ar-SA"/>
              </w:rPr>
              <w:t>C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l’ASET deve essere  maggiore del RSET ed in particolare il tmarg ≥ 100% ASET ;</w:t>
            </w:r>
            <w:bookmarkStart w:id="3" w:name="_Hlk121861274"/>
            <w:bookmarkEnd w:id="3"/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89"/>
        <w:gridCol w:w="9066"/>
      </w:tblGrid>
      <w:tr>
        <w:trPr/>
        <w:tc>
          <w:tcPr>
            <w:tcW w:w="689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9</w:t>
            </w:r>
          </w:p>
        </w:tc>
        <w:tc>
          <w:tcPr>
            <w:tcW w:w="9066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Cosa è l’incendio di progetto?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è l’incendio in base al quale devo sviluppare il mio progetto di prevenzione incendi;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FF0000"/>
                <w:kern w:val="0"/>
                <w:sz w:val="20"/>
                <w:szCs w:val="20"/>
                <w:lang w:val="it-IT" w:bidi="ar-SA"/>
              </w:rPr>
              <w:t>B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è l’incendio che caratterizza l’evoluzione del fumo, del calore e delle sostanze tossiche, riferito ad un particolare scenario utilizzato per la verifica delle prestazioni rese dalla strategia antincendio nel caso di utilizzo dell’ingegneria della sicurezza antincendio;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è l’incendio che rende critiche le mie misure di  protezione attiva;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44"/>
        <w:gridCol w:w="9110"/>
      </w:tblGrid>
      <w:tr>
        <w:trPr/>
        <w:tc>
          <w:tcPr>
            <w:tcW w:w="644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10</w:t>
            </w:r>
          </w:p>
        </w:tc>
        <w:tc>
          <w:tcPr>
            <w:tcW w:w="911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Cosa si intende per ingegneria della sicurezza antincendio o FSE?</w:t>
            </w:r>
          </w:p>
        </w:tc>
      </w:tr>
      <w:tr>
        <w:trPr/>
        <w:tc>
          <w:tcPr>
            <w:tcW w:w="975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l’attività di progettazione antincendio;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l’applicazione delle norme NFPA;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FF0000"/>
                <w:kern w:val="0"/>
                <w:sz w:val="20"/>
                <w:szCs w:val="20"/>
                <w:lang w:val="it-IT" w:bidi="ar-SA"/>
              </w:rPr>
              <w:t xml:space="preserve">C 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□ l’applicazione di principi ingegneristici, di regole e di giudizi esperti basati sulla valutazione scientifica del fenomeno della combustione, degli effetti dell’incendio e del comportamento umano, finalizzati alla tutela della vita umana, alla protezione dei beni e dell’ambiente, alla quantificazione dei rischi di incendio e dei relativi effetti ed alla valutazione analitica delle misure antincendio ottimali, necessarie a limitare entro livelli prestabiliti le conseguenze dell’incendio;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Nome e cognome partecipante: ____________________________________________________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200"/>
        <w:rPr>
          <w:sz w:val="20"/>
          <w:szCs w:val="20"/>
        </w:rPr>
      </w:pPr>
      <w:r>
        <w:rPr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09" w:top="1304" w:footer="709" w:bottom="102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Liberation Sans Narrow">
    <w:charset w:val="01"/>
    <w:family w:val="swiss"/>
    <w:pitch w:val="default"/>
  </w:font>
  <w:font w:name="Aharon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>
        <w:b/>
        <w:sz w:val="18"/>
        <w:szCs w:val="24"/>
      </w:rPr>
      <w:t>Data</w:t>
    </w:r>
    <w:r>
      <w:rPr>
        <w:lang w:val="en-GB"/>
      </w:rPr>
      <w:tab/>
      <w:tab/>
      <w:t xml:space="preserve">pag.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di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>
        <w:b/>
        <w:sz w:val="18"/>
        <w:szCs w:val="24"/>
      </w:rPr>
      <w:t>Data</w:t>
    </w:r>
    <w:r>
      <w:rPr>
        <w:lang w:val="en-GB"/>
      </w:rPr>
      <w:tab/>
      <w:tab/>
      <w:t xml:space="preserve">pag.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di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638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a0" w:noHBand="0" w:noVBand="0" w:firstColumn="1" w:lastRow="0" w:lastColumn="0" w:firstRow="1"/>
    </w:tblPr>
    <w:tblGrid>
      <w:gridCol w:w="9638"/>
    </w:tblGrid>
    <w:tr>
      <w:trPr/>
      <w:tc>
        <w:tcPr>
          <w:tcW w:w="9638" w:type="dxa"/>
          <w:tcBorders>
            <w:bottom w:val="single" w:sz="4" w:space="0" w:color="808080"/>
          </w:tcBorders>
        </w:tcPr>
        <w:p>
          <w:pPr>
            <w:pStyle w:val="Footer"/>
            <w:ind w:firstLine="8647"/>
            <w:rPr>
              <w:rFonts w:eastAsia="Times New Roman"/>
              <w:sz w:val="22"/>
              <w:szCs w:val="22"/>
            </w:rPr>
          </w:pPr>
          <w:r>
            <w:rPr>
              <w:rFonts w:eastAsia="Times New Roman"/>
              <w:sz w:val="22"/>
              <w:szCs w:val="22"/>
            </w:rPr>
          </w:r>
        </w:p>
      </w:tc>
    </w:tr>
  </w:tbl>
  <w:p>
    <w:pPr>
      <w:pStyle w:val="Header"/>
      <w:rPr>
        <w:sz w:val="10"/>
        <w:szCs w:val="10"/>
      </w:rPr>
    </w:pPr>
    <w:r>
      <w:rPr>
        <w:sz w:val="10"/>
        <w:szCs w:val="1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638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a0" w:noHBand="0" w:noVBand="0" w:firstColumn="1" w:lastRow="0" w:lastColumn="0" w:firstRow="1"/>
    </w:tblPr>
    <w:tblGrid>
      <w:gridCol w:w="9638"/>
    </w:tblGrid>
    <w:tr>
      <w:trPr/>
      <w:tc>
        <w:tcPr>
          <w:tcW w:w="9638" w:type="dxa"/>
          <w:tcBorders>
            <w:bottom w:val="single" w:sz="4" w:space="0" w:color="808080"/>
          </w:tcBorders>
        </w:tcPr>
        <w:p>
          <w:pPr>
            <w:pStyle w:val="Footer"/>
            <w:ind w:firstLine="8647"/>
            <w:rPr>
              <w:rFonts w:eastAsia="Times New Roman"/>
              <w:sz w:val="22"/>
              <w:szCs w:val="22"/>
            </w:rPr>
          </w:pPr>
          <w:r>
            <w:rPr>
              <w:rFonts w:eastAsia="Times New Roman"/>
              <w:sz w:val="22"/>
              <w:szCs w:val="22"/>
            </w:rPr>
          </w:r>
        </w:p>
      </w:tc>
    </w:tr>
  </w:tbl>
  <w:p>
    <w:pPr>
      <w:pStyle w:val="Header"/>
      <w:rPr>
        <w:sz w:val="10"/>
        <w:szCs w:val="10"/>
      </w:rPr>
    </w:pPr>
    <w:r>
      <w:rPr>
        <w:sz w:val="10"/>
        <w:szCs w:val="1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45234"/>
    <w:pPr>
      <w:widowControl/>
      <w:bidi w:val="0"/>
      <w:spacing w:lineRule="auto" w:line="276" w:before="0" w:after="200"/>
      <w:jc w:val="left"/>
    </w:pPr>
    <w:rPr>
      <w:rFonts w:eastAsia="Times New Roman" w:ascii="Calibri" w:hAnsi="Calibri" w:cs="Times New Roman"/>
      <w:color w:val="auto"/>
      <w:kern w:val="0"/>
      <w:sz w:val="22"/>
      <w:szCs w:val="22"/>
      <w:lang w:eastAsia="en-US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link w:val="BalloonText"/>
    <w:semiHidden/>
    <w:qFormat/>
    <w:locked/>
    <w:rsid w:val="007a0d4e"/>
    <w:rPr>
      <w:rFonts w:ascii="Tahoma" w:hAnsi="Tahoma" w:cs="Tahoma"/>
      <w:sz w:val="16"/>
      <w:szCs w:val="16"/>
    </w:rPr>
  </w:style>
  <w:style w:type="character" w:styleId="IntestazioneCarattere" w:customStyle="1">
    <w:name w:val="Intestazione Carattere"/>
    <w:qFormat/>
    <w:locked/>
    <w:rsid w:val="00fe3205"/>
    <w:rPr>
      <w:rFonts w:cs="Times New Roman"/>
    </w:rPr>
  </w:style>
  <w:style w:type="character" w:styleId="PidipaginaCarattere" w:customStyle="1">
    <w:name w:val="Piè di pagina Carattere"/>
    <w:qFormat/>
    <w:locked/>
    <w:rsid w:val="00fe3205"/>
    <w:rPr>
      <w:rFonts w:cs="Times New Roman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 Narrow" w:hAnsi="Liberation Sans Narrow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 Narrow" w:hAnsi="Liberation Sans Narrow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 Narrow" w:hAnsi="Liberation Sans Narrow" w:cs="Noto Sans Devanagari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ascii="Liberation Sans Narrow" w:hAnsi="Liberation Sans Narrow" w:cs="Noto Sans Devanagari"/>
    </w:rPr>
  </w:style>
  <w:style w:type="paragraph" w:styleId="BalloonText">
    <w:name w:val="Balloon Text"/>
    <w:basedOn w:val="Normal"/>
    <w:link w:val="TestofumettoCarattere"/>
    <w:semiHidden/>
    <w:qFormat/>
    <w:rsid w:val="007a0d4e"/>
    <w:pPr>
      <w:spacing w:lineRule="auto" w:line="240" w:before="0" w:after="0"/>
    </w:pPr>
    <w:rPr>
      <w:rFonts w:ascii="Tahoma" w:hAnsi="Tahoma" w:eastAsia="Calibri"/>
      <w:sz w:val="16"/>
      <w:szCs w:val="16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rsid w:val="00fe3205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>
      <w:rFonts w:eastAsia="Calibri"/>
      <w:sz w:val="20"/>
      <w:szCs w:val="20"/>
    </w:rPr>
  </w:style>
  <w:style w:type="paragraph" w:styleId="Footer">
    <w:name w:val="Footer"/>
    <w:basedOn w:val="Normal"/>
    <w:link w:val="PidipaginaCarattere"/>
    <w:rsid w:val="00fe3205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>
      <w:rFonts w:eastAsia="Calibri"/>
      <w:sz w:val="20"/>
      <w:szCs w:val="20"/>
    </w:rPr>
  </w:style>
  <w:style w:type="paragraph" w:styleId="Paragrafoelenco1" w:customStyle="1">
    <w:name w:val="Paragrafo elenco1"/>
    <w:basedOn w:val="Normal"/>
    <w:qFormat/>
    <w:rsid w:val="005d0d06"/>
    <w:pPr>
      <w:spacing w:before="0" w:after="200"/>
      <w:ind w:left="720"/>
      <w:contextualSpacing/>
    </w:pPr>
    <w:rPr/>
  </w:style>
  <w:style w:type="paragraph" w:styleId="Default" w:customStyle="1">
    <w:name w:val="Default"/>
    <w:qFormat/>
    <w:rsid w:val="002c4767"/>
    <w:pPr>
      <w:widowControl/>
      <w:bidi w:val="0"/>
      <w:spacing w:before="0" w:after="0"/>
      <w:jc w:val="left"/>
    </w:pPr>
    <w:rPr>
      <w:rFonts w:ascii="Aharoni" w:hAnsi="Aharoni" w:eastAsia="Times New Roman" w:cs="Aharoni"/>
      <w:color w:val="000000"/>
      <w:kern w:val="0"/>
      <w:sz w:val="24"/>
      <w:szCs w:val="24"/>
      <w:lang w:eastAsia="en-US" w:bidi="he-IL" w:val="it-IT"/>
    </w:rPr>
  </w:style>
  <w:style w:type="paragraph" w:styleId="ListParagraph">
    <w:name w:val="List Paragraph"/>
    <w:basedOn w:val="Normal"/>
    <w:uiPriority w:val="34"/>
    <w:qFormat/>
    <w:rsid w:val="00e849ef"/>
    <w:pPr>
      <w:ind w:left="708"/>
    </w:pPr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d76197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LibreOffice/24.2.7.2$Linux_X86_64 LibreOffice_project/420$Build-2</Application>
  <AppVersion>15.0000</AppVersion>
  <Pages>3</Pages>
  <Words>670</Words>
  <Characters>3576</Characters>
  <CharactersWithSpaces>4198</CharactersWithSpaces>
  <Paragraphs>62</Paragraphs>
  <Company>Studio Tecnico Ing. Montanari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2024-05-23T10:09:00Z</dcterms:created>
  <dc:creator>Ing. Marco Montanari</dc:creator>
  <dc:description/>
  <dc:language>it-IT</dc:language>
  <cp:lastModifiedBy>Account Microsoft</cp:lastModifiedBy>
  <cp:lastPrinted>2017-10-03T10:13:00Z</cp:lastPrinted>
  <dcterms:modified xsi:type="dcterms:W3CDTF">2024-05-23T10:10:00Z</dcterms:modified>
  <cp:revision>3</cp:revision>
  <dc:subject/>
  <dc:title>CORSO DI AGGIORNAMENTO IN MATERIA DI PREVENZIONE INCENDI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